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Ценностно-целевые ориентиры современного воспитания</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«Ценностно- целевые ориентиры современного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«Ценностно-целевые ориентиры современного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«Ценностно-целевые ориентиры современного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 средств для определения уровня сформированности у них духовно-нравственных ценностей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068.9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с особыми образовательными потребностями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  навыками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«Ценностно-целевые ориентиры современного воспитания»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ОПК-6, ОПК-8,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воспитания на современном этапе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Нормативно-правовые основы современного воспитательного процесса: аксиологический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Гуманистическая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Ценностно-целевые ориентиры видов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Научно-педагогические подходы к определению цели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духовно-нравственного воспитания и организационные формы его освоения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проектирования систем воспитания ориентированного на развитие ценностного мира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индивидуализации воспитательного процесса с учетом особенностей контингента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Модели психолого-педагогической диагностики результативности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71.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воспитания на современном этапе развития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pPr>
              <w:jc w:val="both"/>
              <w:spacing w:after="0" w:line="240" w:lineRule="auto"/>
              <w:rPr>
                <w:sz w:val="24"/>
                <w:szCs w:val="24"/>
              </w:rPr>
            </w:pPr>
            <w:r>
              <w:rPr>
                <w:rFonts w:ascii="Times New Roman" w:hAnsi="Times New Roman" w:cs="Times New Roman"/>
                <w:color w:val="#000000"/>
                <w:sz w:val="24"/>
                <w:szCs w:val="24"/>
              </w:rPr>
              <w:t> 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pPr>
              <w:jc w:val="both"/>
              <w:spacing w:after="0" w:line="240" w:lineRule="auto"/>
              <w:rPr>
                <w:sz w:val="24"/>
                <w:szCs w:val="24"/>
              </w:rPr>
            </w:pPr>
            <w:r>
              <w:rPr>
                <w:rFonts w:ascii="Times New Roman" w:hAnsi="Times New Roman" w:cs="Times New Roman"/>
                <w:color w:val="#000000"/>
                <w:sz w:val="24"/>
                <w:szCs w:val="24"/>
              </w:rPr>
              <w:t> 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Нормативно-правовые основы современного воспитательного процесса: аксиологический аспект.</w:t>
            </w:r>
          </w:p>
        </w:tc>
      </w:tr>
      <w:tr>
        <w:trPr>
          <w:trHeight w:hRule="exact" w:val="707.9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 определяющих специфику школы нового поколения.</w:t>
            </w:r>
          </w:p>
          <w:p>
            <w:pPr>
              <w:jc w:val="both"/>
              <w:spacing w:after="0" w:line="240" w:lineRule="auto"/>
              <w:rPr>
                <w:sz w:val="24"/>
                <w:szCs w:val="24"/>
              </w:rPr>
            </w:pPr>
            <w:r>
              <w:rPr>
                <w:rFonts w:ascii="Times New Roman" w:hAnsi="Times New Roman" w:cs="Times New Roman"/>
                <w:color w:val="#000000"/>
                <w:sz w:val="24"/>
                <w:szCs w:val="24"/>
              </w:rPr>
              <w:t> 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pPr>
              <w:jc w:val="both"/>
              <w:spacing w:after="0" w:line="240" w:lineRule="auto"/>
              <w:rPr>
                <w:sz w:val="24"/>
                <w:szCs w:val="24"/>
              </w:rPr>
            </w:pPr>
            <w:r>
              <w:rPr>
                <w:rFonts w:ascii="Times New Roman" w:hAnsi="Times New Roman" w:cs="Times New Roman"/>
                <w:color w:val="#000000"/>
                <w:sz w:val="24"/>
                <w:szCs w:val="24"/>
              </w:rPr>
              <w:t> 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pPr>
              <w:jc w:val="both"/>
              <w:spacing w:after="0" w:line="240" w:lineRule="auto"/>
              <w:rPr>
                <w:sz w:val="24"/>
                <w:szCs w:val="24"/>
              </w:rPr>
            </w:pPr>
            <w:r>
              <w:rPr>
                <w:rFonts w:ascii="Times New Roman" w:hAnsi="Times New Roman" w:cs="Times New Roman"/>
                <w:color w:val="#000000"/>
                <w:sz w:val="24"/>
                <w:szCs w:val="24"/>
              </w:rPr>
              <w:t> 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Гуманистическая сущность воспитания и его место в целостной структуре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pPr>
              <w:jc w:val="both"/>
              <w:spacing w:after="0" w:line="240" w:lineRule="auto"/>
              <w:rPr>
                <w:sz w:val="24"/>
                <w:szCs w:val="24"/>
              </w:rPr>
            </w:pPr>
            <w:r>
              <w:rPr>
                <w:rFonts w:ascii="Times New Roman" w:hAnsi="Times New Roman" w:cs="Times New Roman"/>
                <w:color w:val="#000000"/>
                <w:sz w:val="24"/>
                <w:szCs w:val="24"/>
              </w:rPr>
              <w:t> 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pPr>
              <w:jc w:val="both"/>
              <w:spacing w:after="0" w:line="240" w:lineRule="auto"/>
              <w:rPr>
                <w:sz w:val="24"/>
                <w:szCs w:val="24"/>
              </w:rPr>
            </w:pPr>
            <w:r>
              <w:rPr>
                <w:rFonts w:ascii="Times New Roman" w:hAnsi="Times New Roman" w:cs="Times New Roman"/>
                <w:color w:val="#000000"/>
                <w:sz w:val="24"/>
                <w:szCs w:val="24"/>
              </w:rPr>
              <w:t> 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Ценностно-целевые ориентиры видов воспитания</w:t>
            </w:r>
          </w:p>
        </w:tc>
      </w:tr>
      <w:tr>
        <w:trPr>
          <w:trHeight w:hRule="exact" w:val="5818.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pPr>
              <w:jc w:val="both"/>
              <w:spacing w:after="0" w:line="240" w:lineRule="auto"/>
              <w:rPr>
                <w:sz w:val="24"/>
                <w:szCs w:val="24"/>
              </w:rPr>
            </w:pPr>
            <w:r>
              <w:rPr>
                <w:rFonts w:ascii="Times New Roman" w:hAnsi="Times New Roman" w:cs="Times New Roman"/>
                <w:color w:val="#000000"/>
                <w:sz w:val="24"/>
                <w:szCs w:val="24"/>
              </w:rPr>
              <w:t> 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Культуросообразное воспитание. Культурологические термины. Аспекты культурологического воспитания.</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Гуманистическое воспитание. Положения гуманизма изложенные в Амстердамской декларация 2002. Тезис о рациональности гуманизма. Основные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гуманистической педагогики по Б.Б. Айсмонтасу. Личностно-центрированный характер гуманистического воспитания.</w:t>
            </w:r>
          </w:p>
          <w:p>
            <w:pPr>
              <w:jc w:val="both"/>
              <w:spacing w:after="0" w:line="240" w:lineRule="auto"/>
              <w:rPr>
                <w:sz w:val="24"/>
                <w:szCs w:val="24"/>
              </w:rPr>
            </w:pPr>
            <w:r>
              <w:rPr>
                <w:rFonts w:ascii="Times New Roman" w:hAnsi="Times New Roman" w:cs="Times New Roman"/>
                <w:color w:val="#000000"/>
                <w:sz w:val="24"/>
                <w:szCs w:val="24"/>
              </w:rPr>
              <w:t> Трудовое воспитание. Социальный прогресс и трудовое воспитание. Деятельностный аспект трудового воспитания. Концептуальная база трудового воспитания в школе.</w:t>
            </w:r>
          </w:p>
          <w:p>
            <w:pPr>
              <w:jc w:val="both"/>
              <w:spacing w:after="0" w:line="240" w:lineRule="auto"/>
              <w:rPr>
                <w:sz w:val="24"/>
                <w:szCs w:val="24"/>
              </w:rPr>
            </w:pPr>
            <w:r>
              <w:rPr>
                <w:rFonts w:ascii="Times New Roman" w:hAnsi="Times New Roman" w:cs="Times New Roman"/>
                <w:color w:val="#000000"/>
                <w:sz w:val="24"/>
                <w:szCs w:val="24"/>
              </w:rPr>
              <w:t>  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Обобщенная характеристика видов воспитания, 19 основополагающих видов (подвидов) воспитания.</w:t>
            </w:r>
          </w:p>
          <w:p>
            <w:pPr>
              <w:jc w:val="both"/>
              <w:spacing w:after="0" w:line="240" w:lineRule="auto"/>
              <w:rPr>
                <w:sz w:val="24"/>
                <w:szCs w:val="24"/>
              </w:rPr>
            </w:pPr>
            <w:r>
              <w:rPr>
                <w:rFonts w:ascii="Times New Roman" w:hAnsi="Times New Roman" w:cs="Times New Roman"/>
                <w:color w:val="#000000"/>
                <w:sz w:val="24"/>
                <w:szCs w:val="24"/>
              </w:rPr>
              <w:t> 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Научно-педагогические подходы к определению цели воспитания.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 Ценности как цели воспитания в педагогической теории и практике.</w:t>
            </w:r>
          </w:p>
          <w:p>
            <w:pPr>
              <w:jc w:val="left"/>
              <w:spacing w:after="0" w:line="240" w:lineRule="auto"/>
              <w:rPr>
                <w:sz w:val="24"/>
                <w:szCs w:val="24"/>
              </w:rPr>
            </w:pPr>
            <w:r>
              <w:rPr>
                <w:rFonts w:ascii="Times New Roman" w:hAnsi="Times New Roman" w:cs="Times New Roman"/>
                <w:color w:val="#000000"/>
                <w:sz w:val="24"/>
                <w:szCs w:val="24"/>
              </w:rPr>
              <w:t> 2.	 Проектирование системы целей и задач воспитания: общая структура целей воспитания.</w:t>
            </w:r>
          </w:p>
          <w:p>
            <w:pPr>
              <w:jc w:val="left"/>
              <w:spacing w:after="0" w:line="240" w:lineRule="auto"/>
              <w:rPr>
                <w:sz w:val="24"/>
                <w:szCs w:val="24"/>
              </w:rPr>
            </w:pPr>
            <w:r>
              <w:rPr>
                <w:rFonts w:ascii="Times New Roman" w:hAnsi="Times New Roman" w:cs="Times New Roman"/>
                <w:color w:val="#000000"/>
                <w:sz w:val="24"/>
                <w:szCs w:val="24"/>
              </w:rPr>
              <w:t> 3.	Проектирование системы общих целей 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	Технология проектирования целей и задач воспитания на учебном занятии и воспитательном мероприятии.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духовно-нравственного воспитания и организационные формы его освоения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Структура содержания воспитания, ориентированного на развитие ценностного мира человека.</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духовно-нравственного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3.	Традиции патриотического воспитания, обусловленные историческим наследием и героическим прошлым.</w:t>
            </w:r>
          </w:p>
          <w:p>
            <w:pPr>
              <w:jc w:val="left"/>
              <w:spacing w:after="0" w:line="240" w:lineRule="auto"/>
              <w:rPr>
                <w:sz w:val="24"/>
                <w:szCs w:val="24"/>
              </w:rPr>
            </w:pPr>
            <w:r>
              <w:rPr>
                <w:rFonts w:ascii="Times New Roman" w:hAnsi="Times New Roman" w:cs="Times New Roman"/>
                <w:color w:val="#000000"/>
                <w:sz w:val="24"/>
                <w:szCs w:val="24"/>
              </w:rPr>
              <w:t> 4.	Концепция инновационного развития патриотического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поддержка социализации детей, в том числе и с особыми образовательными потребностями.</w:t>
            </w:r>
          </w:p>
          <w:p>
            <w:pPr>
              <w:jc w:val="left"/>
              <w:spacing w:after="0" w:line="240" w:lineRule="auto"/>
              <w:rPr>
                <w:sz w:val="24"/>
                <w:szCs w:val="24"/>
              </w:rPr>
            </w:pPr>
            <w:r>
              <w:rPr>
                <w:rFonts w:ascii="Times New Roman" w:hAnsi="Times New Roman" w:cs="Times New Roman"/>
                <w:color w:val="#000000"/>
                <w:sz w:val="24"/>
                <w:szCs w:val="24"/>
              </w:rPr>
              <w:t> 6.	Формы организации воспитания в учреждениях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проектирования систем воспитания ориентированного на развитие ценностного мира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Формирование морально-этической компетенции.</w:t>
            </w:r>
          </w:p>
          <w:p>
            <w:pPr>
              <w:jc w:val="left"/>
              <w:spacing w:after="0" w:line="240" w:lineRule="auto"/>
              <w:rPr>
                <w:sz w:val="24"/>
                <w:szCs w:val="24"/>
              </w:rPr>
            </w:pPr>
            <w:r>
              <w:rPr>
                <w:rFonts w:ascii="Times New Roman" w:hAnsi="Times New Roman" w:cs="Times New Roman"/>
                <w:color w:val="#000000"/>
                <w:sz w:val="24"/>
                <w:szCs w:val="24"/>
              </w:rPr>
              <w:t> 2.	Формирование социально-гражданской компетенции.</w:t>
            </w:r>
          </w:p>
          <w:p>
            <w:pPr>
              <w:jc w:val="left"/>
              <w:spacing w:after="0" w:line="240" w:lineRule="auto"/>
              <w:rPr>
                <w:sz w:val="24"/>
                <w:szCs w:val="24"/>
              </w:rPr>
            </w:pPr>
            <w:r>
              <w:rPr>
                <w:rFonts w:ascii="Times New Roman" w:hAnsi="Times New Roman" w:cs="Times New Roman"/>
                <w:color w:val="#000000"/>
                <w:sz w:val="24"/>
                <w:szCs w:val="24"/>
              </w:rPr>
              <w:t> 3.	Формирование профессионально-трудовой компетенции.</w:t>
            </w:r>
          </w:p>
          <w:p>
            <w:pPr>
              <w:jc w:val="left"/>
              <w:spacing w:after="0" w:line="240" w:lineRule="auto"/>
              <w:rPr>
                <w:sz w:val="24"/>
                <w:szCs w:val="24"/>
              </w:rPr>
            </w:pPr>
            <w:r>
              <w:rPr>
                <w:rFonts w:ascii="Times New Roman" w:hAnsi="Times New Roman" w:cs="Times New Roman"/>
                <w:color w:val="#000000"/>
                <w:sz w:val="24"/>
                <w:szCs w:val="24"/>
              </w:rPr>
              <w:t> 4.	Эколого-валеологическая компетенция.</w:t>
            </w:r>
          </w:p>
          <w:p>
            <w:pPr>
              <w:jc w:val="left"/>
              <w:spacing w:after="0" w:line="240" w:lineRule="auto"/>
              <w:rPr>
                <w:sz w:val="24"/>
                <w:szCs w:val="24"/>
              </w:rPr>
            </w:pPr>
            <w:r>
              <w:rPr>
                <w:rFonts w:ascii="Times New Roman" w:hAnsi="Times New Roman" w:cs="Times New Roman"/>
                <w:color w:val="#000000"/>
                <w:sz w:val="24"/>
                <w:szCs w:val="24"/>
              </w:rPr>
              <w:t> 5.	Формирование художественно-эстетической компетенции.</w:t>
            </w:r>
          </w:p>
          <w:p>
            <w:pPr>
              <w:jc w:val="left"/>
              <w:spacing w:after="0" w:line="240" w:lineRule="auto"/>
              <w:rPr>
                <w:sz w:val="24"/>
                <w:szCs w:val="24"/>
              </w:rPr>
            </w:pPr>
            <w:r>
              <w:rPr>
                <w:rFonts w:ascii="Times New Roman" w:hAnsi="Times New Roman" w:cs="Times New Roman"/>
                <w:color w:val="#000000"/>
                <w:sz w:val="24"/>
                <w:szCs w:val="24"/>
              </w:rPr>
              <w:t> 6.	Формирование коммуникативной компетенции.</w:t>
            </w:r>
          </w:p>
          <w:p>
            <w:pPr>
              <w:jc w:val="left"/>
              <w:spacing w:after="0" w:line="240" w:lineRule="auto"/>
              <w:rPr>
                <w:sz w:val="24"/>
                <w:szCs w:val="24"/>
              </w:rPr>
            </w:pPr>
            <w:r>
              <w:rPr>
                <w:rFonts w:ascii="Times New Roman" w:hAnsi="Times New Roman" w:cs="Times New Roman"/>
                <w:color w:val="#000000"/>
                <w:sz w:val="24"/>
                <w:szCs w:val="24"/>
              </w:rPr>
              <w:t> 7.	Формирование компетенции личностного самосовершенствования.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индивидуализации воспитательного процесса с учетом особенностей контингента обучающихся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Педагогический инструментарий современных воспитательных тех-нологий.</w:t>
            </w:r>
          </w:p>
          <w:p>
            <w:pPr>
              <w:jc w:val="left"/>
              <w:spacing w:after="0" w:line="240" w:lineRule="auto"/>
              <w:rPr>
                <w:sz w:val="24"/>
                <w:szCs w:val="24"/>
              </w:rPr>
            </w:pPr>
            <w:r>
              <w:rPr>
                <w:rFonts w:ascii="Times New Roman" w:hAnsi="Times New Roman" w:cs="Times New Roman"/>
                <w:color w:val="#000000"/>
                <w:sz w:val="24"/>
                <w:szCs w:val="24"/>
              </w:rPr>
              <w:t> 2.	 Технология педагогического события в поддержке жизненного самоопределения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	Развитие профессиональных компетенций студентов ‒ будущих пе-дагогов в логике технологии педагогического события.</w:t>
            </w:r>
          </w:p>
          <w:p>
            <w:pPr>
              <w:jc w:val="left"/>
              <w:spacing w:after="0" w:line="240" w:lineRule="auto"/>
              <w:rPr>
                <w:sz w:val="24"/>
                <w:szCs w:val="24"/>
              </w:rPr>
            </w:pPr>
            <w:r>
              <w:rPr>
                <w:rFonts w:ascii="Times New Roman" w:hAnsi="Times New Roman" w:cs="Times New Roman"/>
                <w:color w:val="#000000"/>
                <w:sz w:val="24"/>
                <w:szCs w:val="24"/>
              </w:rPr>
              <w:t> 4.	Комплекс педагогических средств воспитания учащейся молодежи.</w:t>
            </w:r>
          </w:p>
          <w:p>
            <w:pPr>
              <w:jc w:val="left"/>
              <w:spacing w:after="0" w:line="240" w:lineRule="auto"/>
              <w:rPr>
                <w:sz w:val="24"/>
                <w:szCs w:val="24"/>
              </w:rPr>
            </w:pPr>
            <w:r>
              <w:rPr>
                <w:rFonts w:ascii="Times New Roman" w:hAnsi="Times New Roman" w:cs="Times New Roman"/>
                <w:color w:val="#000000"/>
                <w:sz w:val="24"/>
                <w:szCs w:val="24"/>
              </w:rPr>
              <w:t> 5.	Организация социокультурной среды вузов для учащихся с ограниченными возможностями здоровья и инвалидностью.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Модели психолого-педагогической диагностики результативности воспитания.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Требования к организации диагностики результативности воспитания.</w:t>
            </w:r>
          </w:p>
          <w:p>
            <w:pPr>
              <w:jc w:val="left"/>
              <w:spacing w:after="0" w:line="240" w:lineRule="auto"/>
              <w:rPr>
                <w:sz w:val="24"/>
                <w:szCs w:val="24"/>
              </w:rPr>
            </w:pPr>
            <w:r>
              <w:rPr>
                <w:rFonts w:ascii="Times New Roman" w:hAnsi="Times New Roman" w:cs="Times New Roman"/>
                <w:color w:val="#000000"/>
                <w:sz w:val="24"/>
                <w:szCs w:val="24"/>
              </w:rPr>
              <w:t> 2.	Диагностика и мониторинг процесса воспитания</w:t>
            </w:r>
          </w:p>
          <w:p>
            <w:pPr>
              <w:jc w:val="left"/>
              <w:spacing w:after="0" w:line="240" w:lineRule="auto"/>
              <w:rPr>
                <w:sz w:val="24"/>
                <w:szCs w:val="24"/>
              </w:rPr>
            </w:pPr>
            <w:r>
              <w:rPr>
                <w:rFonts w:ascii="Times New Roman" w:hAnsi="Times New Roman" w:cs="Times New Roman"/>
                <w:color w:val="#000000"/>
                <w:sz w:val="24"/>
                <w:szCs w:val="24"/>
              </w:rPr>
              <w:t> 3.	Уровни и критерии нравственной воспитанности</w:t>
            </w:r>
          </w:p>
          <w:p>
            <w:pPr>
              <w:jc w:val="left"/>
              <w:spacing w:after="0" w:line="240" w:lineRule="auto"/>
              <w:rPr>
                <w:sz w:val="24"/>
                <w:szCs w:val="24"/>
              </w:rPr>
            </w:pPr>
            <w:r>
              <w:rPr>
                <w:rFonts w:ascii="Times New Roman" w:hAnsi="Times New Roman" w:cs="Times New Roman"/>
                <w:color w:val="#000000"/>
                <w:sz w:val="24"/>
                <w:szCs w:val="24"/>
              </w:rPr>
              <w:t> 4.	Основные подходы к диагностике качества и эффективности воспита-тельного процесса в вузе.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«Ценностно- целевые ориентиры современного воспитания» / Шмачилина-Цибенко С.В..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Эмоционально-ценностный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Берулава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Беседина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Кучерков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Четвергова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https://urait.ru/bcode/441176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эмоционально-ценностного</w:t>
            </w:r>
            <w:r>
              <w:rPr/>
              <w:t xml:space="preserve"> </w:t>
            </w:r>
            <w:r>
              <w:rPr>
                <w:rFonts w:ascii="Times New Roman" w:hAnsi="Times New Roman" w:cs="Times New Roman"/>
                <w:color w:val="#000000"/>
                <w:sz w:val="24"/>
                <w:szCs w:val="24"/>
              </w:rPr>
              <w:t>компонента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преподавании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https://urait.ru/bcode/432204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2023-2024_ФГОС3++2023_Маг-ЗФО-ПО(Иннов)(23)_plx_Ценностно-целевые ориентиры современного воспитания</dc:title>
  <dc:creator>FastReport.NET</dc:creator>
</cp:coreProperties>
</file>